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left"/>
        <w:rPr>
          <w:rFonts w:hint="eastAsia" w:eastAsia="黑体"/>
          <w:sz w:val="32"/>
          <w:szCs w:val="32"/>
        </w:rPr>
      </w:pPr>
      <w:bookmarkStart w:id="0" w:name="_GoBack"/>
      <w:bookmarkEnd w:id="0"/>
      <w:r>
        <w:rPr>
          <w:rFonts w:eastAsia="黑体"/>
          <w:sz w:val="32"/>
          <w:szCs w:val="32"/>
        </w:rPr>
        <w:t>附件</w:t>
      </w:r>
      <w:r>
        <w:rPr>
          <w:rFonts w:hint="eastAsia" w:ascii="黑体" w:hAnsi="黑体" w:eastAsia="黑体" w:cs="黑体"/>
          <w:sz w:val="32"/>
          <w:szCs w:val="32"/>
        </w:rPr>
        <w:t>1</w:t>
      </w:r>
    </w:p>
    <w:p>
      <w:pPr>
        <w:pStyle w:val="2"/>
        <w:jc w:val="center"/>
        <w:rPr>
          <w:rFonts w:hint="eastAsia" w:ascii="黑体" w:hAnsi="黑体" w:eastAsia="黑体" w:cs="黑体"/>
          <w:sz w:val="36"/>
          <w:szCs w:val="36"/>
        </w:rPr>
      </w:pPr>
      <w:r>
        <w:rPr>
          <w:rFonts w:hint="eastAsia" w:ascii="黑体" w:hAnsi="黑体" w:eastAsia="黑体" w:cs="黑体"/>
          <w:sz w:val="36"/>
          <w:szCs w:val="36"/>
        </w:rPr>
        <w:t>大中小企业融通型载体绩效目标表</w:t>
      </w:r>
    </w:p>
    <w:p>
      <w:pPr>
        <w:pStyle w:val="2"/>
        <w:jc w:val="left"/>
        <w:rPr>
          <w:rFonts w:hint="eastAsia"/>
          <w:sz w:val="24"/>
          <w:szCs w:val="24"/>
        </w:rPr>
      </w:pPr>
      <w:r>
        <w:rPr>
          <w:rFonts w:hint="eastAsia" w:ascii="宋体" w:hAnsi="宋体"/>
          <w:sz w:val="24"/>
          <w:szCs w:val="24"/>
        </w:rPr>
        <w:t>报送时间段：□一季度</w:t>
      </w:r>
      <w:r>
        <w:rPr>
          <w:rFonts w:hint="eastAsia"/>
          <w:sz w:val="24"/>
          <w:szCs w:val="24"/>
        </w:rPr>
        <w:t xml:space="preserve"> </w:t>
      </w:r>
      <w:r>
        <w:rPr>
          <w:sz w:val="24"/>
          <w:szCs w:val="24"/>
        </w:rPr>
        <w:t xml:space="preserve">   </w:t>
      </w:r>
      <w:r>
        <w:rPr>
          <w:rFonts w:hint="eastAsia" w:ascii="宋体" w:hAnsi="宋体"/>
          <w:sz w:val="24"/>
          <w:szCs w:val="24"/>
        </w:rPr>
        <w:t>□二季度</w:t>
      </w:r>
      <w:r>
        <w:rPr>
          <w:sz w:val="24"/>
          <w:szCs w:val="24"/>
        </w:rPr>
        <w:t xml:space="preserve">    </w:t>
      </w:r>
      <w:r>
        <w:rPr>
          <w:rFonts w:hint="eastAsia" w:ascii="宋体" w:hAnsi="宋体"/>
          <w:sz w:val="24"/>
          <w:szCs w:val="24"/>
        </w:rPr>
        <w:t>□三季度</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ascii="宋体" w:hAnsi="宋体"/>
          <w:sz w:val="24"/>
          <w:szCs w:val="24"/>
        </w:rPr>
        <w:t>□四季度</w:t>
      </w:r>
    </w:p>
    <w:tbl>
      <w:tblPr>
        <w:tblStyle w:val="4"/>
        <w:tblW w:w="9513" w:type="dxa"/>
        <w:jc w:val="center"/>
        <w:tblInd w:w="0" w:type="dxa"/>
        <w:tblLayout w:type="fixed"/>
        <w:tblCellMar>
          <w:top w:w="0" w:type="dxa"/>
          <w:left w:w="108" w:type="dxa"/>
          <w:bottom w:w="0" w:type="dxa"/>
          <w:right w:w="108" w:type="dxa"/>
        </w:tblCellMar>
      </w:tblPr>
      <w:tblGrid>
        <w:gridCol w:w="1800"/>
        <w:gridCol w:w="5136"/>
        <w:gridCol w:w="1465"/>
        <w:gridCol w:w="1112"/>
      </w:tblGrid>
      <w:tr>
        <w:tblPrEx>
          <w:tblLayout w:type="fixed"/>
          <w:tblCellMar>
            <w:top w:w="0" w:type="dxa"/>
            <w:left w:w="108" w:type="dxa"/>
            <w:bottom w:w="0" w:type="dxa"/>
            <w:right w:w="108" w:type="dxa"/>
          </w:tblCellMar>
        </w:tblPrEx>
        <w:trPr>
          <w:trHeight w:val="747"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b/>
                <w:szCs w:val="21"/>
              </w:rPr>
            </w:pPr>
            <w:r>
              <w:rPr>
                <w:b/>
                <w:szCs w:val="21"/>
              </w:rPr>
              <w:t>一级指标</w:t>
            </w:r>
          </w:p>
        </w:tc>
        <w:tc>
          <w:tcPr>
            <w:tcW w:w="5136" w:type="dxa"/>
            <w:tcBorders>
              <w:top w:val="single" w:color="auto" w:sz="4" w:space="0"/>
              <w:left w:val="nil"/>
              <w:bottom w:val="single" w:color="auto" w:sz="4" w:space="0"/>
              <w:right w:val="single" w:color="auto" w:sz="4" w:space="0"/>
            </w:tcBorders>
            <w:noWrap w:val="0"/>
            <w:vAlign w:val="center"/>
          </w:tcPr>
          <w:p>
            <w:pPr>
              <w:jc w:val="center"/>
              <w:rPr>
                <w:b/>
                <w:szCs w:val="21"/>
              </w:rPr>
            </w:pPr>
            <w:r>
              <w:rPr>
                <w:b/>
                <w:szCs w:val="21"/>
              </w:rPr>
              <w:t>二级指标</w:t>
            </w:r>
          </w:p>
        </w:tc>
        <w:tc>
          <w:tcPr>
            <w:tcW w:w="1465" w:type="dxa"/>
            <w:tcBorders>
              <w:top w:val="single" w:color="auto" w:sz="4" w:space="0"/>
              <w:left w:val="nil"/>
              <w:bottom w:val="single" w:color="auto" w:sz="4" w:space="0"/>
              <w:right w:val="single" w:color="auto" w:sz="4" w:space="0"/>
            </w:tcBorders>
            <w:noWrap w:val="0"/>
            <w:vAlign w:val="center"/>
          </w:tcPr>
          <w:p>
            <w:pPr>
              <w:jc w:val="center"/>
              <w:rPr>
                <w:b/>
                <w:szCs w:val="21"/>
              </w:rPr>
            </w:pPr>
            <w:r>
              <w:rPr>
                <w:rFonts w:hint="eastAsia"/>
                <w:b/>
                <w:szCs w:val="21"/>
              </w:rPr>
              <w:t>报送期末值</w:t>
            </w:r>
          </w:p>
        </w:tc>
        <w:tc>
          <w:tcPr>
            <w:tcW w:w="1112" w:type="dxa"/>
            <w:tcBorders>
              <w:top w:val="single" w:color="auto" w:sz="4" w:space="0"/>
              <w:left w:val="nil"/>
              <w:bottom w:val="single" w:color="auto" w:sz="4" w:space="0"/>
              <w:right w:val="single" w:color="auto" w:sz="4" w:space="0"/>
            </w:tcBorders>
            <w:noWrap w:val="0"/>
            <w:vAlign w:val="center"/>
          </w:tcPr>
          <w:p>
            <w:pPr>
              <w:jc w:val="center"/>
              <w:rPr>
                <w:b/>
                <w:szCs w:val="21"/>
              </w:rPr>
            </w:pPr>
            <w:r>
              <w:rPr>
                <w:rFonts w:hint="eastAsia"/>
                <w:b/>
                <w:szCs w:val="21"/>
              </w:rPr>
              <w:t>比上季度增加值</w:t>
            </w:r>
          </w:p>
        </w:tc>
      </w:tr>
      <w:tr>
        <w:tblPrEx>
          <w:tblLayout w:type="fixed"/>
          <w:tblCellMar>
            <w:top w:w="0" w:type="dxa"/>
            <w:left w:w="108" w:type="dxa"/>
            <w:bottom w:w="0" w:type="dxa"/>
            <w:right w:w="108" w:type="dxa"/>
          </w:tblCellMar>
        </w:tblPrEx>
        <w:trPr>
          <w:trHeight w:val="2629" w:hRule="atLeast"/>
          <w:jc w:val="center"/>
        </w:trPr>
        <w:tc>
          <w:tcPr>
            <w:tcW w:w="1800" w:type="dxa"/>
            <w:tcBorders>
              <w:top w:val="nil"/>
              <w:left w:val="single" w:color="auto" w:sz="4" w:space="0"/>
              <w:bottom w:val="single" w:color="auto" w:sz="4" w:space="0"/>
              <w:right w:val="single" w:color="auto" w:sz="4" w:space="0"/>
            </w:tcBorders>
            <w:noWrap w:val="0"/>
            <w:vAlign w:val="center"/>
          </w:tcPr>
          <w:p>
            <w:pPr>
              <w:jc w:val="center"/>
              <w:rPr>
                <w:bCs/>
                <w:szCs w:val="21"/>
              </w:rPr>
            </w:pPr>
            <w:r>
              <w:rPr>
                <w:bCs/>
                <w:szCs w:val="21"/>
              </w:rPr>
              <w:t>产业集聚度</w:t>
            </w: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该类型载体在主要服务的行业领域吸引入驻的企业数占比（%）=该类型载体在主要服务的行业领域吸引入驻的企业个数*100%/入驻该类型载体的企业总个数</w:t>
            </w:r>
          </w:p>
        </w:tc>
        <w:tc>
          <w:tcPr>
            <w:tcW w:w="1465" w:type="dxa"/>
            <w:tcBorders>
              <w:top w:val="nil"/>
              <w:left w:val="nil"/>
              <w:bottom w:val="single" w:color="auto" w:sz="4" w:space="0"/>
              <w:right w:val="single" w:color="auto" w:sz="4" w:space="0"/>
            </w:tcBorders>
            <w:noWrap w:val="0"/>
            <w:vAlign w:val="center"/>
          </w:tcPr>
          <w:p>
            <w:pPr>
              <w:widowControl/>
              <w:jc w:val="center"/>
              <w:rPr>
                <w:rFonts w:eastAsia="仿宋_GB2312"/>
                <w:b/>
                <w:bCs/>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center"/>
              <w:rPr>
                <w:rFonts w:eastAsia="仿宋_GB2312"/>
                <w:b/>
                <w:bCs/>
                <w:color w:val="000000"/>
                <w:kern w:val="0"/>
                <w:szCs w:val="21"/>
              </w:rPr>
            </w:pPr>
          </w:p>
        </w:tc>
      </w:tr>
      <w:tr>
        <w:tblPrEx>
          <w:tblLayout w:type="fixed"/>
          <w:tblCellMar>
            <w:top w:w="0" w:type="dxa"/>
            <w:left w:w="108" w:type="dxa"/>
            <w:bottom w:w="0" w:type="dxa"/>
            <w:right w:w="108" w:type="dxa"/>
          </w:tblCellMar>
        </w:tblPrEx>
        <w:trPr>
          <w:trHeight w:val="931" w:hRule="atLeast"/>
          <w:jc w:val="center"/>
        </w:trPr>
        <w:tc>
          <w:tcPr>
            <w:tcW w:w="1800" w:type="dxa"/>
            <w:vMerge w:val="restart"/>
            <w:tcBorders>
              <w:top w:val="nil"/>
              <w:left w:val="single" w:color="auto" w:sz="4" w:space="0"/>
              <w:bottom w:val="single" w:color="auto" w:sz="4" w:space="0"/>
              <w:right w:val="single" w:color="auto" w:sz="4" w:space="0"/>
            </w:tcBorders>
            <w:noWrap w:val="0"/>
            <w:vAlign w:val="center"/>
          </w:tcPr>
          <w:p>
            <w:pPr>
              <w:jc w:val="center"/>
              <w:rPr>
                <w:bCs/>
                <w:szCs w:val="21"/>
              </w:rPr>
            </w:pPr>
            <w:r>
              <w:rPr>
                <w:bCs/>
                <w:szCs w:val="21"/>
              </w:rPr>
              <w:t>资源聚集力</w:t>
            </w: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半年报指标：</w:t>
            </w:r>
            <w:r>
              <w:rPr>
                <w:bCs/>
                <w:szCs w:val="21"/>
              </w:rPr>
              <w:t>该类型载体从业人员数（万人）</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1046" w:hRule="atLeast"/>
          <w:jc w:val="center"/>
        </w:trPr>
        <w:tc>
          <w:tcPr>
            <w:tcW w:w="1800" w:type="dxa"/>
            <w:vMerge w:val="continue"/>
            <w:tcBorders>
              <w:top w:val="nil"/>
              <w:left w:val="single" w:color="auto" w:sz="4" w:space="0"/>
              <w:bottom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该类型合作的资本服务机构数（个）</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1076" w:hRule="atLeast"/>
          <w:jc w:val="center"/>
        </w:trPr>
        <w:tc>
          <w:tcPr>
            <w:tcW w:w="1800" w:type="dxa"/>
            <w:vMerge w:val="continue"/>
            <w:tcBorders>
              <w:top w:val="nil"/>
              <w:left w:val="single" w:color="auto" w:sz="4" w:space="0"/>
              <w:bottom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该类型载体拥有或合作的各类专业公共技术服务平台数（个）</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913" w:hRule="atLeast"/>
          <w:jc w:val="center"/>
        </w:trPr>
        <w:tc>
          <w:tcPr>
            <w:tcW w:w="1800" w:type="dxa"/>
            <w:vMerge w:val="continue"/>
            <w:tcBorders>
              <w:top w:val="nil"/>
              <w:left w:val="single" w:color="auto" w:sz="4" w:space="0"/>
              <w:bottom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半年报指标：</w:t>
            </w:r>
            <w:r>
              <w:rPr>
                <w:bCs/>
                <w:szCs w:val="21"/>
              </w:rPr>
              <w:t>该类型载体创业导师数（人）</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1000" w:hRule="atLeast"/>
          <w:jc w:val="center"/>
        </w:trPr>
        <w:tc>
          <w:tcPr>
            <w:tcW w:w="1800" w:type="dxa"/>
            <w:vMerge w:val="continue"/>
            <w:tcBorders>
              <w:top w:val="nil"/>
              <w:left w:val="single" w:color="auto" w:sz="4" w:space="0"/>
              <w:bottom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该类型载体组织创新创业大赛和项目路演总次数（次）</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862" w:hRule="atLeast"/>
          <w:jc w:val="center"/>
        </w:trPr>
        <w:tc>
          <w:tcPr>
            <w:tcW w:w="1800" w:type="dxa"/>
            <w:vMerge w:val="continue"/>
            <w:tcBorders>
              <w:top w:val="nil"/>
              <w:left w:val="single" w:color="auto" w:sz="4" w:space="0"/>
              <w:bottom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该类型载体已达成合作的行业龙头企业数（家）</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983" w:hRule="atLeast"/>
          <w:jc w:val="center"/>
        </w:trPr>
        <w:tc>
          <w:tcPr>
            <w:tcW w:w="1800" w:type="dxa"/>
            <w:vMerge w:val="restart"/>
            <w:tcBorders>
              <w:top w:val="nil"/>
              <w:left w:val="single" w:color="auto" w:sz="4" w:space="0"/>
              <w:bottom w:val="single" w:color="000000" w:sz="4" w:space="0"/>
              <w:right w:val="single" w:color="auto" w:sz="4" w:space="0"/>
            </w:tcBorders>
            <w:noWrap w:val="0"/>
            <w:vAlign w:val="center"/>
          </w:tcPr>
          <w:p>
            <w:pPr>
              <w:jc w:val="center"/>
              <w:rPr>
                <w:bCs/>
                <w:szCs w:val="21"/>
              </w:rPr>
            </w:pPr>
            <w:r>
              <w:rPr>
                <w:bCs/>
                <w:szCs w:val="21"/>
              </w:rPr>
              <w:t>持续发展力</w:t>
            </w: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该类型载体亩均收入（万元/平方米）=创新创业特色载体上一年度营业收入/创新创业特色载体实际建成面积</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842" w:hRule="atLeast"/>
          <w:jc w:val="center"/>
        </w:trPr>
        <w:tc>
          <w:tcPr>
            <w:tcW w:w="1800" w:type="dxa"/>
            <w:vMerge w:val="continue"/>
            <w:tcBorders>
              <w:top w:val="nil"/>
              <w:left w:val="single" w:color="auto" w:sz="4" w:space="0"/>
              <w:bottom w:val="single" w:color="000000"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该类型载体从业人员中大学及以上学历人员占比（%）</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765" w:hRule="atLeast"/>
          <w:jc w:val="center"/>
        </w:trPr>
        <w:tc>
          <w:tcPr>
            <w:tcW w:w="1800" w:type="dxa"/>
            <w:vMerge w:val="continue"/>
            <w:tcBorders>
              <w:top w:val="nil"/>
              <w:left w:val="single" w:color="auto" w:sz="4" w:space="0"/>
              <w:bottom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该类型载体中的行业龙头企业催生中小企业数（家）</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624" w:hRule="atLeast"/>
          <w:jc w:val="center"/>
        </w:trPr>
        <w:tc>
          <w:tcPr>
            <w:tcW w:w="1800" w:type="dxa"/>
            <w:vMerge w:val="restart"/>
            <w:tcBorders>
              <w:top w:val="single" w:color="auto" w:sz="4" w:space="0"/>
              <w:left w:val="single" w:color="auto" w:sz="4" w:space="0"/>
              <w:right w:val="single" w:color="auto" w:sz="4" w:space="0"/>
            </w:tcBorders>
            <w:noWrap w:val="0"/>
            <w:vAlign w:val="center"/>
          </w:tcPr>
          <w:p>
            <w:pPr>
              <w:jc w:val="center"/>
              <w:rPr>
                <w:bCs/>
                <w:szCs w:val="21"/>
              </w:rPr>
            </w:pPr>
            <w:r>
              <w:rPr>
                <w:bCs/>
                <w:szCs w:val="21"/>
              </w:rPr>
              <w:t>产出与效益</w:t>
            </w:r>
          </w:p>
        </w:tc>
        <w:tc>
          <w:tcPr>
            <w:tcW w:w="5136" w:type="dxa"/>
            <w:tcBorders>
              <w:top w:val="single" w:color="auto" w:sz="4" w:space="0"/>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入驻该类型载体的企业毕业数（家）</w:t>
            </w:r>
          </w:p>
        </w:tc>
        <w:tc>
          <w:tcPr>
            <w:tcW w:w="146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562"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single" w:color="auto" w:sz="4" w:space="0"/>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入驻该类型载体的企业挂牌或上市数（个）</w:t>
            </w:r>
          </w:p>
        </w:tc>
        <w:tc>
          <w:tcPr>
            <w:tcW w:w="146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674"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single" w:color="auto" w:sz="4" w:space="0"/>
              <w:left w:val="single" w:color="auto" w:sz="4" w:space="0"/>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入驻该类型载体的企业规模升级数（家）</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838"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single" w:color="auto" w:sz="4" w:space="0"/>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该类型载体培育的经国家、省级认定的专精特新中小企业数（家）</w:t>
            </w:r>
          </w:p>
        </w:tc>
        <w:tc>
          <w:tcPr>
            <w:tcW w:w="146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694"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入驻该类型载体的企业被认定为科技型中小企业和高新技术企业的合计数（家）</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690"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入驻该类型载体的企业在国内外创新创业大赛中获奖数（项）</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430"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入驻该类型载体的企业产值（万元）</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550"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年报指标：</w:t>
            </w:r>
            <w:r>
              <w:rPr>
                <w:bCs/>
                <w:szCs w:val="21"/>
              </w:rPr>
              <w:t>入驻该类型载体的企业利税额（万元）</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558"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入驻该类型载体的企业新增就业人数（万人）</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645"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入驻该类型载体的企业研发投入（万元）</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1266" w:hRule="atLeast"/>
          <w:jc w:val="center"/>
        </w:trPr>
        <w:tc>
          <w:tcPr>
            <w:tcW w:w="1800" w:type="dxa"/>
            <w:vMerge w:val="continue"/>
            <w:tcBorders>
              <w:left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该类型载体在设计研发、生产制造、物资采购、市场营销、品牌嫁接等某个或多个方面促成行业龙头企业与中小企业达成的交易额或服务额、投资额（万元）</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1000" w:hRule="atLeast"/>
          <w:jc w:val="center"/>
        </w:trPr>
        <w:tc>
          <w:tcPr>
            <w:tcW w:w="1800" w:type="dxa"/>
            <w:vMerge w:val="continue"/>
            <w:tcBorders>
              <w:left w:val="single" w:color="auto" w:sz="4" w:space="0"/>
              <w:bottom w:val="single" w:color="auto" w:sz="4" w:space="0"/>
              <w:right w:val="single" w:color="auto" w:sz="4" w:space="0"/>
            </w:tcBorders>
            <w:noWrap w:val="0"/>
            <w:vAlign w:val="center"/>
          </w:tcPr>
          <w:p>
            <w:pPr>
              <w:jc w:val="center"/>
              <w:rPr>
                <w:bCs/>
                <w:szCs w:val="21"/>
              </w:rPr>
            </w:pP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该类型载体中的大企业通过增信、担保、订单质押、应收账款确权等方式帮助获得银行等金融机构贷款的中小企业数（家）</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972" w:hRule="atLeast"/>
          <w:jc w:val="center"/>
        </w:trPr>
        <w:tc>
          <w:tcPr>
            <w:tcW w:w="1800" w:type="dxa"/>
            <w:tcBorders>
              <w:top w:val="nil"/>
              <w:left w:val="single" w:color="auto" w:sz="4" w:space="0"/>
              <w:bottom w:val="single" w:color="auto" w:sz="4" w:space="0"/>
              <w:right w:val="single" w:color="auto" w:sz="4" w:space="0"/>
            </w:tcBorders>
            <w:noWrap w:val="0"/>
            <w:vAlign w:val="center"/>
          </w:tcPr>
          <w:p>
            <w:pPr>
              <w:jc w:val="center"/>
              <w:rPr>
                <w:bCs/>
                <w:szCs w:val="21"/>
              </w:rPr>
            </w:pPr>
            <w:r>
              <w:rPr>
                <w:bCs/>
                <w:szCs w:val="21"/>
              </w:rPr>
              <w:t>改革创新力</w:t>
            </w: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季报指标：</w:t>
            </w:r>
            <w:r>
              <w:rPr>
                <w:bCs/>
                <w:szCs w:val="21"/>
              </w:rPr>
              <w:t>地方制度创新、机制创新的举措及有效模式总结、信息报送等（项）</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r>
        <w:tblPrEx>
          <w:tblLayout w:type="fixed"/>
          <w:tblCellMar>
            <w:top w:w="0" w:type="dxa"/>
            <w:left w:w="108" w:type="dxa"/>
            <w:bottom w:w="0" w:type="dxa"/>
            <w:right w:w="108" w:type="dxa"/>
          </w:tblCellMar>
        </w:tblPrEx>
        <w:trPr>
          <w:trHeight w:val="986" w:hRule="atLeast"/>
          <w:jc w:val="center"/>
        </w:trPr>
        <w:tc>
          <w:tcPr>
            <w:tcW w:w="1800" w:type="dxa"/>
            <w:tcBorders>
              <w:top w:val="nil"/>
              <w:left w:val="single" w:color="auto" w:sz="4" w:space="0"/>
              <w:bottom w:val="single" w:color="auto" w:sz="4" w:space="0"/>
              <w:right w:val="single" w:color="auto" w:sz="4" w:space="0"/>
            </w:tcBorders>
            <w:noWrap w:val="0"/>
            <w:vAlign w:val="center"/>
          </w:tcPr>
          <w:p>
            <w:pPr>
              <w:jc w:val="center"/>
              <w:rPr>
                <w:bCs/>
                <w:szCs w:val="21"/>
              </w:rPr>
            </w:pPr>
            <w:r>
              <w:rPr>
                <w:bCs/>
                <w:szCs w:val="21"/>
              </w:rPr>
              <w:t>辐射带动力</w:t>
            </w:r>
          </w:p>
        </w:tc>
        <w:tc>
          <w:tcPr>
            <w:tcW w:w="5136" w:type="dxa"/>
            <w:tcBorders>
              <w:top w:val="nil"/>
              <w:left w:val="nil"/>
              <w:bottom w:val="single" w:color="auto" w:sz="4" w:space="0"/>
              <w:right w:val="single" w:color="auto" w:sz="4" w:space="0"/>
            </w:tcBorders>
            <w:noWrap w:val="0"/>
            <w:vAlign w:val="center"/>
          </w:tcPr>
          <w:p>
            <w:pPr>
              <w:rPr>
                <w:bCs/>
                <w:szCs w:val="21"/>
              </w:rPr>
            </w:pPr>
            <w:r>
              <w:rPr>
                <w:rFonts w:hint="eastAsia"/>
                <w:b/>
                <w:szCs w:val="21"/>
              </w:rPr>
              <w:t>半年报指标：</w:t>
            </w:r>
            <w:r>
              <w:rPr>
                <w:bCs/>
                <w:szCs w:val="21"/>
              </w:rPr>
              <w:t>该类型载体通过资源共享、服务合作等方式支持开发区以外的中小企业数（家）</w:t>
            </w:r>
          </w:p>
        </w:tc>
        <w:tc>
          <w:tcPr>
            <w:tcW w:w="1465"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12"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r>
    </w:tbl>
    <w:p>
      <w:pPr>
        <w:rPr>
          <w:rFonts w:hint="eastAsia" w:ascii="黑体" w:hAnsi="黑体" w:eastAsia="黑体" w:cs="黑体"/>
          <w:b/>
          <w:bCs/>
          <w:kern w:val="0"/>
          <w:sz w:val="24"/>
          <w:szCs w:val="24"/>
        </w:rPr>
      </w:pPr>
      <w:r>
        <w:rPr>
          <w:rFonts w:hint="eastAsia" w:ascii="黑体" w:hAnsi="黑体" w:eastAsia="黑体" w:cs="黑体"/>
          <w:b/>
          <w:bCs/>
          <w:kern w:val="0"/>
          <w:sz w:val="24"/>
          <w:szCs w:val="24"/>
        </w:rPr>
        <w:t>填表说明：</w:t>
      </w:r>
    </w:p>
    <w:p>
      <w:pPr>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bCs/>
          <w:sz w:val="24"/>
          <w:szCs w:val="24"/>
        </w:rPr>
        <w:t>产业集聚度：如果该类型载体数量大于1个，且主要服务的行业领域存在差异，则按表格内公式加权平均计算，各载体指标数据权重按载体数量算数平均计算。</w:t>
      </w:r>
    </w:p>
    <w:p>
      <w:pPr>
        <w:pStyle w:val="2"/>
        <w:numPr>
          <w:ilvl w:val="0"/>
          <w:numId w:val="1"/>
        </w:numPr>
        <w:spacing w:after="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资源集聚力：从业人员指专职管理、运营、服务人员等。资本服务机构包括天使投资、创业投资、产业投资、银行、担保、保险、小额贷款公司、融资租赁公司等各类金融服务机构。公共技术服务平台包括检验检测平台、共性技术研发平台、中试基地、科技条件设备共享平台等。</w:t>
      </w:r>
    </w:p>
    <w:p>
      <w:pPr>
        <w:pStyle w:val="2"/>
        <w:numPr>
          <w:ilvl w:val="0"/>
          <w:numId w:val="1"/>
        </w:numPr>
        <w:spacing w:after="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持续发展力：从业人员指专职管理人员。</w:t>
      </w:r>
    </w:p>
    <w:p>
      <w:pPr>
        <w:pStyle w:val="2"/>
        <w:numPr>
          <w:ilvl w:val="0"/>
          <w:numId w:val="1"/>
        </w:numPr>
        <w:spacing w:after="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产出与效益：规模升级是指微型企业成长为小型及小型以上企业；小型企业成长为中型及中型以上企业；中型企业成长为大型企业。企业划型标准按工业和信息化部、国家统计局等部门联合制定的《中小企业划型标准规定》执行。</w:t>
      </w:r>
    </w:p>
    <w:p>
      <w:pPr>
        <w:pStyle w:val="2"/>
        <w:numPr>
          <w:ilvl w:val="0"/>
          <w:numId w:val="1"/>
        </w:numPr>
        <w:spacing w:after="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年报指标仅需在第四季度填报。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D9497"/>
    <w:multiLevelType w:val="singleLevel"/>
    <w:tmpl w:val="5C3D949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31033"/>
    <w:rsid w:val="1EF31033"/>
    <w:rsid w:val="52124B48"/>
    <w:rsid w:val="5D943D03"/>
    <w:rsid w:val="DEB7FEBC"/>
    <w:rsid w:val="DFBFF6BE"/>
    <w:rsid w:val="F9DF1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Body Text"/>
    <w:basedOn w:val="1"/>
    <w:uiPriority w:val="0"/>
    <w:pPr>
      <w:spacing w:after="120"/>
    </w:pPr>
    <w:rPr>
      <w:rFonts w:eastAsia="宋体"/>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2019-03-23T19:18:00Z</dcterms:created>
  <dc:creator>张飞云</dc:creator>
  <cp:lastModifiedBy>崔耀东</cp:lastModifiedBy>
  <dcterms:modified xsi:type="dcterms:W3CDTF">2019-04-29T02:13:28Z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